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C054" w14:textId="7CD49054" w:rsidR="00B43B5C" w:rsidRPr="00B43B5C" w:rsidRDefault="00B43B5C" w:rsidP="00B43B5C">
      <w:pPr>
        <w:rPr>
          <w:bCs/>
          <w:sz w:val="32"/>
          <w:szCs w:val="32"/>
        </w:rPr>
      </w:pPr>
      <w:r w:rsidRPr="00B43B5C">
        <w:rPr>
          <w:bCs/>
          <w:sz w:val="32"/>
          <w:szCs w:val="32"/>
        </w:rPr>
        <w:t xml:space="preserve">Annex </w:t>
      </w:r>
      <w:r w:rsidR="00014258">
        <w:rPr>
          <w:bCs/>
          <w:sz w:val="32"/>
          <w:szCs w:val="32"/>
        </w:rPr>
        <w:t>4</w:t>
      </w:r>
      <w:r w:rsidRPr="00B43B5C">
        <w:rPr>
          <w:bCs/>
          <w:sz w:val="32"/>
          <w:szCs w:val="32"/>
        </w:rPr>
        <w:t xml:space="preserve">. Out of Area Placements Protocol </w:t>
      </w:r>
    </w:p>
    <w:p w14:paraId="503B2364" w14:textId="77777777" w:rsidR="00B43B5C" w:rsidRDefault="00B43B5C" w:rsidP="00B43B5C">
      <w:pPr>
        <w:rPr>
          <w:b/>
          <w:bCs/>
        </w:rPr>
      </w:pPr>
    </w:p>
    <w:p w14:paraId="2A705F4A" w14:textId="0E4C6361" w:rsidR="00014258" w:rsidRPr="00014258" w:rsidRDefault="00014258" w:rsidP="00014258">
      <w:pPr>
        <w:spacing w:line="311" w:lineRule="atLeast"/>
        <w:jc w:val="both"/>
        <w:rPr>
          <w:rFonts w:ascii="Arial" w:hAnsi="Arial" w:cs="Arial"/>
          <w:b/>
          <w:bCs/>
          <w:spacing w:val="-3"/>
          <w:sz w:val="28"/>
          <w:szCs w:val="28"/>
        </w:rPr>
      </w:pPr>
      <w:r w:rsidRPr="00014258">
        <w:rPr>
          <w:rFonts w:ascii="Arial" w:hAnsi="Arial" w:cs="Arial"/>
          <w:b/>
          <w:bCs/>
          <w:spacing w:val="-3"/>
          <w:sz w:val="28"/>
          <w:szCs w:val="28"/>
        </w:rPr>
        <w:t>Responsibility under section 17 of the Children Act 1989</w:t>
      </w:r>
    </w:p>
    <w:p w14:paraId="082F012A" w14:textId="77777777" w:rsidR="00014258" w:rsidRDefault="00014258" w:rsidP="00014258">
      <w:pPr>
        <w:spacing w:line="311" w:lineRule="atLeast"/>
        <w:jc w:val="both"/>
        <w:rPr>
          <w:rFonts w:ascii="Arial" w:hAnsi="Arial" w:cs="Arial"/>
          <w:spacing w:val="-3"/>
        </w:rPr>
      </w:pPr>
    </w:p>
    <w:p w14:paraId="340472AD" w14:textId="77777777" w:rsidR="00014258" w:rsidRPr="00014258" w:rsidRDefault="00014258" w:rsidP="00014258">
      <w:pPr>
        <w:tabs>
          <w:tab w:val="left" w:pos="0"/>
        </w:tabs>
        <w:spacing w:line="311" w:lineRule="atLeast"/>
        <w:ind w:left="720" w:hanging="720"/>
        <w:jc w:val="both"/>
        <w:rPr>
          <w:rFonts w:asciiTheme="minorHAnsi" w:hAnsiTheme="minorHAnsi" w:cstheme="minorHAnsi"/>
          <w:spacing w:val="-3"/>
          <w:sz w:val="24"/>
          <w:szCs w:val="24"/>
        </w:rPr>
      </w:pPr>
      <w:r>
        <w:rPr>
          <w:rFonts w:ascii="Arial" w:hAnsi="Arial" w:cs="Arial"/>
          <w:spacing w:val="-3"/>
        </w:rPr>
        <w:fldChar w:fldCharType="begin"/>
      </w:r>
      <w:r>
        <w:rPr>
          <w:rFonts w:ascii="Arial" w:hAnsi="Arial" w:cs="Arial"/>
          <w:spacing w:val="-3"/>
        </w:rPr>
        <w:instrText>listnum "WP List 4" \l 1</w:instrText>
      </w:r>
      <w:r>
        <w:rPr>
          <w:rFonts w:ascii="Arial" w:hAnsi="Arial" w:cs="Arial"/>
          <w:spacing w:val="-3"/>
        </w:rPr>
        <w:fldChar w:fldCharType="end">
          <w:numberingChange w:id="0" w:author="Tim Gray" w:date="2020-12-19T21:49:00Z" w:original="1)"/>
        </w:fldChar>
      </w:r>
      <w:r>
        <w:rPr>
          <w:rFonts w:ascii="Arial" w:hAnsi="Arial" w:cs="Arial"/>
          <w:spacing w:val="-3"/>
        </w:rPr>
        <w:tab/>
      </w:r>
      <w:r w:rsidRPr="00014258">
        <w:rPr>
          <w:rFonts w:asciiTheme="minorHAnsi" w:hAnsiTheme="minorHAnsi" w:cstheme="minorHAnsi"/>
          <w:spacing w:val="-3"/>
          <w:sz w:val="24"/>
          <w:szCs w:val="24"/>
        </w:rPr>
        <w:t>By section 17(1) of the Children Act 1989 a children’s services authority is under a general duty to safeguard and promote the welfare of children within its area who are in need, and, so far as is consistent with that duty, to promote the upbringing of children by their families, by providing a range and level of services appropriate to those children's needs.</w:t>
      </w:r>
    </w:p>
    <w:p w14:paraId="29B013B1" w14:textId="77777777" w:rsidR="00014258" w:rsidRPr="00014258" w:rsidRDefault="00014258" w:rsidP="00014258">
      <w:pPr>
        <w:spacing w:line="311" w:lineRule="atLeast"/>
        <w:jc w:val="both"/>
        <w:rPr>
          <w:rFonts w:asciiTheme="minorHAnsi" w:hAnsiTheme="minorHAnsi" w:cstheme="minorHAnsi"/>
          <w:spacing w:val="-3"/>
          <w:sz w:val="24"/>
          <w:szCs w:val="24"/>
        </w:rPr>
      </w:pPr>
    </w:p>
    <w:p w14:paraId="62F033A8" w14:textId="77777777" w:rsidR="00014258" w:rsidRPr="00014258" w:rsidRDefault="00014258" w:rsidP="00014258">
      <w:pPr>
        <w:tabs>
          <w:tab w:val="left" w:pos="0"/>
        </w:tabs>
        <w:spacing w:line="311" w:lineRule="atLeast"/>
        <w:ind w:left="720" w:hanging="720"/>
        <w:jc w:val="both"/>
        <w:rPr>
          <w:rFonts w:asciiTheme="minorHAnsi" w:hAnsiTheme="minorHAnsi" w:cstheme="minorHAnsi"/>
          <w:spacing w:val="-3"/>
          <w:sz w:val="24"/>
          <w:szCs w:val="24"/>
        </w:rPr>
      </w:pPr>
      <w:r w:rsidRPr="00014258">
        <w:rPr>
          <w:rFonts w:asciiTheme="minorHAnsi" w:hAnsiTheme="minorHAnsi" w:cstheme="minorHAnsi"/>
          <w:spacing w:val="-3"/>
          <w:sz w:val="24"/>
          <w:szCs w:val="24"/>
        </w:rPr>
        <w:fldChar w:fldCharType="begin"/>
      </w:r>
      <w:r w:rsidRPr="00014258">
        <w:rPr>
          <w:rFonts w:asciiTheme="minorHAnsi" w:hAnsiTheme="minorHAnsi" w:cstheme="minorHAnsi"/>
          <w:spacing w:val="-3"/>
          <w:sz w:val="24"/>
          <w:szCs w:val="24"/>
        </w:rPr>
        <w:instrText>listnum "WP List 4" \l 1</w:instrText>
      </w:r>
      <w:r w:rsidRPr="00014258">
        <w:rPr>
          <w:rFonts w:asciiTheme="minorHAnsi" w:hAnsiTheme="minorHAnsi" w:cstheme="minorHAnsi"/>
          <w:spacing w:val="-3"/>
          <w:sz w:val="24"/>
          <w:szCs w:val="24"/>
        </w:rPr>
        <w:fldChar w:fldCharType="end">
          <w:numberingChange w:id="1" w:author="Tim Gray" w:date="2020-12-19T21:49:00Z" w:original="2)"/>
        </w:fldChar>
      </w:r>
      <w:r w:rsidRPr="00014258">
        <w:rPr>
          <w:rFonts w:asciiTheme="minorHAnsi" w:hAnsiTheme="minorHAnsi" w:cstheme="minorHAnsi"/>
          <w:spacing w:val="-3"/>
          <w:sz w:val="24"/>
          <w:szCs w:val="24"/>
        </w:rPr>
        <w:tab/>
        <w:t>By section 17(3) any service provided in the exercise of the functions under section 17 may be provided for the family of a part</w:t>
      </w:r>
      <w:bookmarkStart w:id="2" w:name="_GoBack"/>
      <w:bookmarkEnd w:id="2"/>
      <w:r w:rsidRPr="00014258">
        <w:rPr>
          <w:rFonts w:asciiTheme="minorHAnsi" w:hAnsiTheme="minorHAnsi" w:cstheme="minorHAnsi"/>
          <w:spacing w:val="-3"/>
          <w:sz w:val="24"/>
          <w:szCs w:val="24"/>
        </w:rPr>
        <w:t>icular child in need, or for any member of their family, if it is provided with a view to safeguarding or promoting the child's welfare. By section 17(6) the services provided may include providing accommodation.</w:t>
      </w:r>
    </w:p>
    <w:p w14:paraId="33FAA360" w14:textId="77777777" w:rsidR="00014258" w:rsidRPr="00014258" w:rsidRDefault="00014258" w:rsidP="00014258">
      <w:pPr>
        <w:spacing w:line="311" w:lineRule="atLeast"/>
        <w:jc w:val="both"/>
        <w:rPr>
          <w:rFonts w:asciiTheme="minorHAnsi" w:hAnsiTheme="minorHAnsi" w:cstheme="minorHAnsi"/>
          <w:spacing w:val="-3"/>
          <w:sz w:val="24"/>
          <w:szCs w:val="24"/>
        </w:rPr>
      </w:pPr>
    </w:p>
    <w:p w14:paraId="315A7091" w14:textId="77777777" w:rsidR="00014258" w:rsidRPr="00014258" w:rsidRDefault="00014258" w:rsidP="00014258">
      <w:pPr>
        <w:tabs>
          <w:tab w:val="left" w:pos="0"/>
        </w:tabs>
        <w:spacing w:line="311" w:lineRule="atLeast"/>
        <w:ind w:left="720" w:hanging="720"/>
        <w:jc w:val="both"/>
        <w:rPr>
          <w:rFonts w:asciiTheme="minorHAnsi" w:hAnsiTheme="minorHAnsi" w:cstheme="minorHAnsi"/>
          <w:spacing w:val="-3"/>
          <w:sz w:val="24"/>
          <w:szCs w:val="24"/>
        </w:rPr>
      </w:pPr>
      <w:r w:rsidRPr="00014258">
        <w:rPr>
          <w:rFonts w:asciiTheme="minorHAnsi" w:hAnsiTheme="minorHAnsi" w:cstheme="minorHAnsi"/>
          <w:spacing w:val="-3"/>
          <w:sz w:val="24"/>
          <w:szCs w:val="24"/>
        </w:rPr>
        <w:fldChar w:fldCharType="begin"/>
      </w:r>
      <w:r w:rsidRPr="00014258">
        <w:rPr>
          <w:rFonts w:asciiTheme="minorHAnsi" w:hAnsiTheme="minorHAnsi" w:cstheme="minorHAnsi"/>
          <w:spacing w:val="-3"/>
          <w:sz w:val="24"/>
          <w:szCs w:val="24"/>
        </w:rPr>
        <w:instrText>listnum "WP List 4" \l 1</w:instrText>
      </w:r>
      <w:r w:rsidRPr="00014258">
        <w:rPr>
          <w:rFonts w:asciiTheme="minorHAnsi" w:hAnsiTheme="minorHAnsi" w:cstheme="minorHAnsi"/>
          <w:spacing w:val="-3"/>
          <w:sz w:val="24"/>
          <w:szCs w:val="24"/>
        </w:rPr>
        <w:fldChar w:fldCharType="end">
          <w:numberingChange w:id="3" w:author="Tim Gray" w:date="2020-12-19T21:49:00Z" w:original="3)"/>
        </w:fldChar>
      </w:r>
      <w:r w:rsidRPr="00014258">
        <w:rPr>
          <w:rFonts w:asciiTheme="minorHAnsi" w:hAnsiTheme="minorHAnsi" w:cstheme="minorHAnsi"/>
          <w:spacing w:val="-3"/>
          <w:sz w:val="24"/>
          <w:szCs w:val="24"/>
        </w:rPr>
        <w:tab/>
      </w:r>
      <w:proofErr w:type="gramStart"/>
      <w:r w:rsidRPr="00014258">
        <w:rPr>
          <w:rFonts w:asciiTheme="minorHAnsi" w:hAnsiTheme="minorHAnsi" w:cstheme="minorHAnsi"/>
          <w:spacing w:val="-3"/>
          <w:sz w:val="24"/>
          <w:szCs w:val="24"/>
        </w:rPr>
        <w:t>It can be seen that it</w:t>
      </w:r>
      <w:proofErr w:type="gramEnd"/>
      <w:r w:rsidRPr="00014258">
        <w:rPr>
          <w:rFonts w:asciiTheme="minorHAnsi" w:hAnsiTheme="minorHAnsi" w:cstheme="minorHAnsi"/>
          <w:spacing w:val="-3"/>
          <w:sz w:val="24"/>
          <w:szCs w:val="24"/>
        </w:rPr>
        <w:t xml:space="preserve"> is contemplated that services under section 17 will be provided by the children's services authority in whose area the child is physically present. That is not limited to the authority in whose area the child lives. A child can be physically present in an area by, for example, attending school there (</w:t>
      </w:r>
      <w:r w:rsidRPr="00014258">
        <w:rPr>
          <w:rFonts w:asciiTheme="minorHAnsi" w:hAnsiTheme="minorHAnsi" w:cstheme="minorHAnsi"/>
          <w:i/>
          <w:iCs/>
          <w:spacing w:val="-3"/>
          <w:sz w:val="24"/>
          <w:szCs w:val="24"/>
        </w:rPr>
        <w:t>R (Stewart) v Wandsworth London Borough Council</w:t>
      </w:r>
      <w:r w:rsidRPr="00014258">
        <w:rPr>
          <w:rFonts w:asciiTheme="minorHAnsi" w:hAnsiTheme="minorHAnsi" w:cstheme="minorHAnsi"/>
          <w:spacing w:val="-3"/>
          <w:sz w:val="24"/>
          <w:szCs w:val="24"/>
        </w:rPr>
        <w:t xml:space="preserve"> [2002] 1 FLR 469 at paragraph 30) but a brief visit to an area will not suffice (</w:t>
      </w:r>
      <w:r w:rsidRPr="00014258">
        <w:rPr>
          <w:rFonts w:asciiTheme="minorHAnsi" w:hAnsiTheme="minorHAnsi" w:cstheme="minorHAnsi"/>
          <w:i/>
          <w:iCs/>
          <w:spacing w:val="-3"/>
          <w:sz w:val="24"/>
          <w:szCs w:val="24"/>
        </w:rPr>
        <w:t>R (AM) v Havering London Borough Council</w:t>
      </w:r>
      <w:r w:rsidRPr="00014258">
        <w:rPr>
          <w:rFonts w:asciiTheme="minorHAnsi" w:hAnsiTheme="minorHAnsi" w:cstheme="minorHAnsi"/>
          <w:spacing w:val="-3"/>
          <w:sz w:val="24"/>
          <w:szCs w:val="24"/>
        </w:rPr>
        <w:t xml:space="preserve"> [2015] PTSR 1242 at paragraph 42).</w:t>
      </w:r>
    </w:p>
    <w:p w14:paraId="759D4A95" w14:textId="77777777" w:rsidR="00014258" w:rsidRPr="00014258" w:rsidRDefault="00014258" w:rsidP="00014258">
      <w:pPr>
        <w:spacing w:line="311" w:lineRule="atLeast"/>
        <w:jc w:val="both"/>
        <w:rPr>
          <w:rFonts w:asciiTheme="minorHAnsi" w:hAnsiTheme="minorHAnsi" w:cstheme="minorHAnsi"/>
          <w:spacing w:val="-3"/>
          <w:sz w:val="24"/>
          <w:szCs w:val="24"/>
        </w:rPr>
      </w:pPr>
    </w:p>
    <w:p w14:paraId="2E432327" w14:textId="77777777" w:rsidR="00014258" w:rsidRPr="00014258" w:rsidRDefault="00014258" w:rsidP="00014258">
      <w:pPr>
        <w:tabs>
          <w:tab w:val="left" w:pos="0"/>
        </w:tabs>
        <w:spacing w:line="311" w:lineRule="atLeast"/>
        <w:ind w:left="720" w:hanging="720"/>
        <w:jc w:val="both"/>
        <w:rPr>
          <w:rFonts w:asciiTheme="minorHAnsi" w:hAnsiTheme="minorHAnsi" w:cstheme="minorHAnsi"/>
          <w:spacing w:val="-3"/>
          <w:sz w:val="24"/>
          <w:szCs w:val="24"/>
        </w:rPr>
      </w:pPr>
      <w:r w:rsidRPr="00014258">
        <w:rPr>
          <w:rFonts w:asciiTheme="minorHAnsi" w:hAnsiTheme="minorHAnsi" w:cstheme="minorHAnsi"/>
          <w:spacing w:val="-3"/>
          <w:sz w:val="24"/>
          <w:szCs w:val="24"/>
        </w:rPr>
        <w:fldChar w:fldCharType="begin"/>
      </w:r>
      <w:r w:rsidRPr="00014258">
        <w:rPr>
          <w:rFonts w:asciiTheme="minorHAnsi" w:hAnsiTheme="minorHAnsi" w:cstheme="minorHAnsi"/>
          <w:spacing w:val="-3"/>
          <w:sz w:val="24"/>
          <w:szCs w:val="24"/>
        </w:rPr>
        <w:instrText>listnum "WP List 4" \l 1</w:instrText>
      </w:r>
      <w:r w:rsidRPr="00014258">
        <w:rPr>
          <w:rFonts w:asciiTheme="minorHAnsi" w:hAnsiTheme="minorHAnsi" w:cstheme="minorHAnsi"/>
          <w:spacing w:val="-3"/>
          <w:sz w:val="24"/>
          <w:szCs w:val="24"/>
        </w:rPr>
        <w:fldChar w:fldCharType="end">
          <w:numberingChange w:id="4" w:author="Tim Gray" w:date="2020-12-19T21:49:00Z" w:original="4)"/>
        </w:fldChar>
      </w:r>
      <w:r w:rsidRPr="00014258">
        <w:rPr>
          <w:rFonts w:asciiTheme="minorHAnsi" w:hAnsiTheme="minorHAnsi" w:cstheme="minorHAnsi"/>
          <w:spacing w:val="-3"/>
          <w:sz w:val="24"/>
          <w:szCs w:val="24"/>
        </w:rPr>
        <w:tab/>
        <w:t>Where an authority has carried out an assessment of a child's needs at a time when the child was physically present in its area, it has power to provide services to the child even if the child subsequently moves outside its area (</w:t>
      </w:r>
      <w:r w:rsidRPr="00014258">
        <w:rPr>
          <w:rFonts w:asciiTheme="minorHAnsi" w:hAnsiTheme="minorHAnsi" w:cstheme="minorHAnsi"/>
          <w:i/>
          <w:iCs/>
          <w:spacing w:val="-3"/>
          <w:sz w:val="24"/>
          <w:szCs w:val="24"/>
        </w:rPr>
        <w:t>R (J) v Worcestershire County Council</w:t>
      </w:r>
      <w:r w:rsidRPr="00014258">
        <w:rPr>
          <w:rFonts w:asciiTheme="minorHAnsi" w:hAnsiTheme="minorHAnsi" w:cstheme="minorHAnsi"/>
          <w:spacing w:val="-3"/>
          <w:sz w:val="24"/>
          <w:szCs w:val="24"/>
        </w:rPr>
        <w:t xml:space="preserve"> [2015] PTSR 127 at paragraphs 34 to 36).</w:t>
      </w:r>
    </w:p>
    <w:p w14:paraId="60A84DBB" w14:textId="77777777" w:rsidR="00014258" w:rsidRPr="00014258" w:rsidRDefault="00014258" w:rsidP="00014258">
      <w:pPr>
        <w:spacing w:line="311" w:lineRule="atLeast"/>
        <w:jc w:val="both"/>
        <w:rPr>
          <w:rFonts w:asciiTheme="minorHAnsi" w:hAnsiTheme="minorHAnsi" w:cstheme="minorHAnsi"/>
          <w:spacing w:val="-3"/>
          <w:sz w:val="24"/>
          <w:szCs w:val="24"/>
        </w:rPr>
      </w:pPr>
    </w:p>
    <w:p w14:paraId="33BAF279" w14:textId="77777777" w:rsidR="00014258" w:rsidRPr="00014258" w:rsidRDefault="00014258" w:rsidP="00014258">
      <w:pPr>
        <w:tabs>
          <w:tab w:val="left" w:pos="0"/>
        </w:tabs>
        <w:spacing w:line="311" w:lineRule="atLeast"/>
        <w:ind w:left="720" w:hanging="720"/>
        <w:jc w:val="both"/>
        <w:rPr>
          <w:rFonts w:asciiTheme="minorHAnsi" w:hAnsiTheme="minorHAnsi" w:cstheme="minorHAnsi"/>
          <w:spacing w:val="-3"/>
          <w:sz w:val="24"/>
          <w:szCs w:val="24"/>
        </w:rPr>
      </w:pPr>
      <w:r w:rsidRPr="00014258">
        <w:rPr>
          <w:rFonts w:asciiTheme="minorHAnsi" w:hAnsiTheme="minorHAnsi" w:cstheme="minorHAnsi"/>
          <w:spacing w:val="-3"/>
          <w:sz w:val="24"/>
          <w:szCs w:val="24"/>
        </w:rPr>
        <w:fldChar w:fldCharType="begin"/>
      </w:r>
      <w:r w:rsidRPr="00014258">
        <w:rPr>
          <w:rFonts w:asciiTheme="minorHAnsi" w:hAnsiTheme="minorHAnsi" w:cstheme="minorHAnsi"/>
          <w:spacing w:val="-3"/>
          <w:sz w:val="24"/>
          <w:szCs w:val="24"/>
        </w:rPr>
        <w:instrText>listnum "WP List 4" \l 1</w:instrText>
      </w:r>
      <w:r w:rsidRPr="00014258">
        <w:rPr>
          <w:rFonts w:asciiTheme="minorHAnsi" w:hAnsiTheme="minorHAnsi" w:cstheme="minorHAnsi"/>
          <w:spacing w:val="-3"/>
          <w:sz w:val="24"/>
          <w:szCs w:val="24"/>
        </w:rPr>
        <w:fldChar w:fldCharType="end">
          <w:numberingChange w:id="5" w:author="Tim Gray" w:date="2020-12-19T21:49:00Z" w:original="5)"/>
        </w:fldChar>
      </w:r>
      <w:r w:rsidRPr="00014258">
        <w:rPr>
          <w:rFonts w:asciiTheme="minorHAnsi" w:hAnsiTheme="minorHAnsi" w:cstheme="minorHAnsi"/>
          <w:spacing w:val="-3"/>
          <w:sz w:val="24"/>
          <w:szCs w:val="24"/>
        </w:rPr>
        <w:tab/>
        <w:t>As a result of the above, where a local housing authority has placed a household with one or more dependent children out of its area, the host children's services authority will have responsibility for the children under section 17 of the 1989 Act. The placing authority (or the children's services authority for the area in a two tier area) will also have responsibility for the children if they continue to have a physical presence in its area - for example, because the children continue to go to school in the placing authority's area.</w:t>
      </w:r>
    </w:p>
    <w:p w14:paraId="25F4E93F" w14:textId="77777777" w:rsidR="00014258" w:rsidRPr="00014258" w:rsidRDefault="00014258" w:rsidP="00014258">
      <w:pPr>
        <w:spacing w:line="311" w:lineRule="atLeast"/>
        <w:jc w:val="both"/>
        <w:rPr>
          <w:rFonts w:asciiTheme="minorHAnsi" w:hAnsiTheme="minorHAnsi" w:cstheme="minorHAnsi"/>
          <w:spacing w:val="-3"/>
          <w:sz w:val="24"/>
          <w:szCs w:val="24"/>
        </w:rPr>
      </w:pPr>
    </w:p>
    <w:p w14:paraId="3FA4CED5" w14:textId="307576E3" w:rsidR="00014258" w:rsidRPr="00014258" w:rsidRDefault="00014258" w:rsidP="00014258">
      <w:pPr>
        <w:tabs>
          <w:tab w:val="left" w:pos="0"/>
        </w:tabs>
        <w:spacing w:line="311" w:lineRule="atLeast"/>
        <w:ind w:left="720" w:hanging="720"/>
        <w:jc w:val="both"/>
        <w:rPr>
          <w:rFonts w:asciiTheme="minorHAnsi" w:hAnsiTheme="minorHAnsi" w:cstheme="minorHAnsi"/>
          <w:spacing w:val="-3"/>
          <w:sz w:val="24"/>
          <w:szCs w:val="24"/>
        </w:rPr>
      </w:pPr>
      <w:r w:rsidRPr="00014258">
        <w:rPr>
          <w:rFonts w:asciiTheme="minorHAnsi" w:hAnsiTheme="minorHAnsi" w:cstheme="minorHAnsi"/>
          <w:spacing w:val="-3"/>
          <w:sz w:val="24"/>
          <w:szCs w:val="24"/>
        </w:rPr>
        <w:fldChar w:fldCharType="begin"/>
      </w:r>
      <w:r w:rsidRPr="00014258">
        <w:rPr>
          <w:rFonts w:asciiTheme="minorHAnsi" w:hAnsiTheme="minorHAnsi" w:cstheme="minorHAnsi"/>
          <w:spacing w:val="-3"/>
          <w:sz w:val="24"/>
          <w:szCs w:val="24"/>
        </w:rPr>
        <w:instrText>listnum "WP List 4" \l 1</w:instrText>
      </w:r>
      <w:r w:rsidRPr="00014258">
        <w:rPr>
          <w:rFonts w:asciiTheme="minorHAnsi" w:hAnsiTheme="minorHAnsi" w:cstheme="minorHAnsi"/>
          <w:spacing w:val="-3"/>
          <w:sz w:val="24"/>
          <w:szCs w:val="24"/>
        </w:rPr>
        <w:fldChar w:fldCharType="end">
          <w:numberingChange w:id="6" w:author="Tim Gray" w:date="2020-12-19T21:49:00Z" w:original="6)"/>
        </w:fldChar>
      </w:r>
      <w:r w:rsidRPr="00014258">
        <w:rPr>
          <w:rFonts w:asciiTheme="minorHAnsi" w:hAnsiTheme="minorHAnsi" w:cstheme="minorHAnsi"/>
          <w:spacing w:val="-3"/>
          <w:sz w:val="24"/>
          <w:szCs w:val="24"/>
        </w:rPr>
        <w:tab/>
        <w:t xml:space="preserve">If the placing authority (or the children's services authority for the area in a two tier area) has previously assessed the needs of the children while they were present in its area, it can continue to provide services to the children even after they have moved out of the area. However, in a case where the children appear </w:t>
      </w:r>
      <w:r w:rsidR="004F14AB">
        <w:rPr>
          <w:rFonts w:asciiTheme="minorHAnsi" w:hAnsiTheme="minorHAnsi" w:cstheme="minorHAnsi"/>
          <w:spacing w:val="-3"/>
          <w:sz w:val="24"/>
          <w:szCs w:val="24"/>
        </w:rPr>
        <w:t xml:space="preserve">unlikely </w:t>
      </w:r>
      <w:r w:rsidRPr="00014258">
        <w:rPr>
          <w:rFonts w:asciiTheme="minorHAnsi" w:hAnsiTheme="minorHAnsi" w:cstheme="minorHAnsi"/>
          <w:spacing w:val="-3"/>
          <w:sz w:val="24"/>
          <w:szCs w:val="24"/>
        </w:rPr>
        <w:t xml:space="preserve">to </w:t>
      </w:r>
      <w:r w:rsidR="004F14AB">
        <w:rPr>
          <w:rFonts w:asciiTheme="minorHAnsi" w:hAnsiTheme="minorHAnsi" w:cstheme="minorHAnsi"/>
          <w:spacing w:val="-3"/>
          <w:sz w:val="24"/>
          <w:szCs w:val="24"/>
        </w:rPr>
        <w:t>return to the area within six months</w:t>
      </w:r>
      <w:r w:rsidRPr="00014258">
        <w:rPr>
          <w:rFonts w:asciiTheme="minorHAnsi" w:hAnsiTheme="minorHAnsi" w:cstheme="minorHAnsi"/>
          <w:spacing w:val="-3"/>
          <w:sz w:val="24"/>
          <w:szCs w:val="24"/>
        </w:rPr>
        <w:t>, it may only be appropriate to provide such services for a limited period until the host authority is in a position to take over the provision of services.</w:t>
      </w:r>
    </w:p>
    <w:p w14:paraId="309F9D04" w14:textId="77777777" w:rsidR="00014258" w:rsidRPr="00014258" w:rsidRDefault="00014258" w:rsidP="00014258">
      <w:pPr>
        <w:spacing w:line="311" w:lineRule="atLeast"/>
        <w:jc w:val="both"/>
        <w:rPr>
          <w:rFonts w:asciiTheme="minorHAnsi" w:hAnsiTheme="minorHAnsi" w:cstheme="minorHAnsi"/>
          <w:spacing w:val="-3"/>
          <w:sz w:val="24"/>
          <w:szCs w:val="24"/>
        </w:rPr>
      </w:pPr>
    </w:p>
    <w:p w14:paraId="6677A65D" w14:textId="38003514" w:rsidR="00014258" w:rsidRDefault="00014258" w:rsidP="00014258">
      <w:pPr>
        <w:tabs>
          <w:tab w:val="left" w:pos="0"/>
        </w:tabs>
        <w:spacing w:line="311" w:lineRule="atLeast"/>
        <w:ind w:left="720" w:hanging="720"/>
        <w:jc w:val="both"/>
        <w:rPr>
          <w:b/>
          <w:bCs/>
          <w:sz w:val="28"/>
          <w:szCs w:val="28"/>
        </w:rPr>
      </w:pPr>
      <w:r w:rsidRPr="00014258">
        <w:rPr>
          <w:rFonts w:asciiTheme="minorHAnsi" w:hAnsiTheme="minorHAnsi" w:cstheme="minorHAnsi"/>
          <w:spacing w:val="-3"/>
          <w:sz w:val="24"/>
          <w:szCs w:val="24"/>
        </w:rPr>
        <w:fldChar w:fldCharType="begin"/>
      </w:r>
      <w:r w:rsidRPr="00014258">
        <w:rPr>
          <w:rFonts w:asciiTheme="minorHAnsi" w:hAnsiTheme="minorHAnsi" w:cstheme="minorHAnsi"/>
          <w:spacing w:val="-3"/>
          <w:sz w:val="24"/>
          <w:szCs w:val="24"/>
        </w:rPr>
        <w:instrText>listnum "WP List 4" \l 1</w:instrText>
      </w:r>
      <w:r w:rsidRPr="00014258">
        <w:rPr>
          <w:rFonts w:asciiTheme="minorHAnsi" w:hAnsiTheme="minorHAnsi" w:cstheme="minorHAnsi"/>
          <w:spacing w:val="-3"/>
          <w:sz w:val="24"/>
          <w:szCs w:val="24"/>
        </w:rPr>
        <w:fldChar w:fldCharType="end">
          <w:numberingChange w:id="7" w:author="Tim Gray" w:date="2020-12-19T21:49:00Z" w:original="7)"/>
        </w:fldChar>
      </w:r>
      <w:r w:rsidRPr="00014258">
        <w:rPr>
          <w:rFonts w:asciiTheme="minorHAnsi" w:hAnsiTheme="minorHAnsi" w:cstheme="minorHAnsi"/>
          <w:spacing w:val="-3"/>
          <w:sz w:val="24"/>
          <w:szCs w:val="24"/>
        </w:rPr>
        <w:tab/>
        <w:t>Where more than one authority has responsibility for children under section 17, whichever authority is first approached by the family would be obliged to assess the children's needs but the different authorities with responsibility should co-operate to decide which would be the most appropriate authority or authorities to provide any services.</w:t>
      </w:r>
    </w:p>
    <w:p w14:paraId="133A8F85" w14:textId="77777777" w:rsidR="00014258" w:rsidRDefault="00014258" w:rsidP="00B43B5C">
      <w:pPr>
        <w:rPr>
          <w:b/>
          <w:bCs/>
          <w:sz w:val="28"/>
          <w:szCs w:val="28"/>
        </w:rPr>
      </w:pPr>
    </w:p>
    <w:sectPr w:rsidR="00014258" w:rsidSect="00014258">
      <w:head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3F91" w14:textId="77777777" w:rsidR="00B74A55" w:rsidRDefault="00B74A55" w:rsidP="005A1976">
      <w:r>
        <w:separator/>
      </w:r>
    </w:p>
  </w:endnote>
  <w:endnote w:type="continuationSeparator" w:id="0">
    <w:p w14:paraId="2B67E723" w14:textId="77777777" w:rsidR="00B74A55" w:rsidRDefault="00B74A55" w:rsidP="005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Baskerville Old Fa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E927" w14:textId="77777777" w:rsidR="00B74A55" w:rsidRDefault="00B74A55" w:rsidP="005A1976">
      <w:r>
        <w:separator/>
      </w:r>
    </w:p>
  </w:footnote>
  <w:footnote w:type="continuationSeparator" w:id="0">
    <w:p w14:paraId="09ADBB96" w14:textId="77777777" w:rsidR="00B74A55" w:rsidRDefault="00B74A55" w:rsidP="005A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25512"/>
      <w:docPartObj>
        <w:docPartGallery w:val="Watermarks"/>
        <w:docPartUnique/>
      </w:docPartObj>
    </w:sdtPr>
    <w:sdtEndPr/>
    <w:sdtContent>
      <w:p w14:paraId="6EF7DCFF" w14:textId="77777777" w:rsidR="005A1976" w:rsidRDefault="00B74A55">
        <w:pPr>
          <w:pStyle w:val="Header"/>
        </w:pPr>
        <w:r>
          <w:rPr>
            <w:noProof/>
            <w:lang w:val="en-US" w:eastAsia="zh-TW"/>
          </w:rPr>
          <w:pict w14:anchorId="4C408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5DF82CBB"/>
    <w:multiLevelType w:val="multilevel"/>
    <w:tmpl w:val="7A80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Gray">
    <w15:presenceInfo w15:providerId="Windows Live" w15:userId="7ee09d73a08ae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5C"/>
    <w:rsid w:val="00014258"/>
    <w:rsid w:val="0004259E"/>
    <w:rsid w:val="0021421F"/>
    <w:rsid w:val="0023382C"/>
    <w:rsid w:val="002C727B"/>
    <w:rsid w:val="00370A4B"/>
    <w:rsid w:val="004F14AB"/>
    <w:rsid w:val="005A1976"/>
    <w:rsid w:val="00603456"/>
    <w:rsid w:val="00767A15"/>
    <w:rsid w:val="00780C2A"/>
    <w:rsid w:val="007928A3"/>
    <w:rsid w:val="007A42BF"/>
    <w:rsid w:val="00A54D3C"/>
    <w:rsid w:val="00AF76F2"/>
    <w:rsid w:val="00B43B5C"/>
    <w:rsid w:val="00B74A55"/>
    <w:rsid w:val="00B93828"/>
    <w:rsid w:val="00C3759B"/>
    <w:rsid w:val="00C64F41"/>
    <w:rsid w:val="00CD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3C6C01"/>
  <w15:docId w15:val="{1771033E-C77B-4E0D-A336-F1777B7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76"/>
    <w:pPr>
      <w:tabs>
        <w:tab w:val="center" w:pos="4513"/>
        <w:tab w:val="right" w:pos="9026"/>
      </w:tabs>
    </w:pPr>
  </w:style>
  <w:style w:type="character" w:customStyle="1" w:styleId="HeaderChar">
    <w:name w:val="Header Char"/>
    <w:basedOn w:val="DefaultParagraphFont"/>
    <w:link w:val="Header"/>
    <w:uiPriority w:val="99"/>
    <w:rsid w:val="005A1976"/>
    <w:rPr>
      <w:rFonts w:ascii="Calibri" w:hAnsi="Calibri" w:cs="Calibri"/>
    </w:rPr>
  </w:style>
  <w:style w:type="paragraph" w:styleId="Footer">
    <w:name w:val="footer"/>
    <w:basedOn w:val="Normal"/>
    <w:link w:val="FooterChar"/>
    <w:uiPriority w:val="99"/>
    <w:unhideWhenUsed/>
    <w:rsid w:val="005A1976"/>
    <w:pPr>
      <w:tabs>
        <w:tab w:val="center" w:pos="4513"/>
        <w:tab w:val="right" w:pos="9026"/>
      </w:tabs>
    </w:pPr>
  </w:style>
  <w:style w:type="character" w:customStyle="1" w:styleId="FooterChar">
    <w:name w:val="Footer Char"/>
    <w:basedOn w:val="DefaultParagraphFont"/>
    <w:link w:val="Footer"/>
    <w:uiPriority w:val="99"/>
    <w:rsid w:val="005A1976"/>
    <w:rPr>
      <w:rFonts w:ascii="Calibri" w:hAnsi="Calibri" w:cs="Calibri"/>
    </w:rPr>
  </w:style>
  <w:style w:type="character" w:styleId="CommentReference">
    <w:name w:val="annotation reference"/>
    <w:uiPriority w:val="99"/>
    <w:semiHidden/>
    <w:unhideWhenUsed/>
    <w:rsid w:val="00014258"/>
    <w:rPr>
      <w:sz w:val="16"/>
      <w:szCs w:val="16"/>
    </w:rPr>
  </w:style>
  <w:style w:type="paragraph" w:styleId="CommentText">
    <w:name w:val="annotation text"/>
    <w:basedOn w:val="Normal"/>
    <w:link w:val="CommentTextChar"/>
    <w:uiPriority w:val="99"/>
    <w:semiHidden/>
    <w:unhideWhenUsed/>
    <w:rsid w:val="00014258"/>
    <w:pPr>
      <w:widowControl w:val="0"/>
      <w:tabs>
        <w:tab w:val="left" w:pos="-720"/>
      </w:tabs>
      <w:suppressAutoHyphens/>
      <w:autoSpaceDE w:val="0"/>
      <w:autoSpaceDN w:val="0"/>
      <w:adjustRightInd w:val="0"/>
      <w:spacing w:line="360" w:lineRule="atLeast"/>
    </w:pPr>
    <w:rPr>
      <w:rFonts w:ascii="CG Times" w:eastAsia="Times New Roman" w:hAnsi="CG Times" w:cs="CG Times"/>
      <w:sz w:val="20"/>
      <w:szCs w:val="20"/>
      <w:lang w:val="en-US" w:eastAsia="en-GB"/>
    </w:rPr>
  </w:style>
  <w:style w:type="character" w:customStyle="1" w:styleId="CommentTextChar">
    <w:name w:val="Comment Text Char"/>
    <w:basedOn w:val="DefaultParagraphFont"/>
    <w:link w:val="CommentText"/>
    <w:uiPriority w:val="99"/>
    <w:semiHidden/>
    <w:rsid w:val="00014258"/>
    <w:rPr>
      <w:rFonts w:ascii="CG Times" w:eastAsia="Times New Roman" w:hAnsi="CG Times" w:cs="CG Times"/>
      <w:sz w:val="20"/>
      <w:szCs w:val="20"/>
      <w:lang w:val="en-US" w:eastAsia="en-GB"/>
    </w:rPr>
  </w:style>
  <w:style w:type="paragraph" w:styleId="BalloonText">
    <w:name w:val="Balloon Text"/>
    <w:basedOn w:val="Normal"/>
    <w:link w:val="BalloonTextChar"/>
    <w:uiPriority w:val="99"/>
    <w:semiHidden/>
    <w:unhideWhenUsed/>
    <w:rsid w:val="00014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8CB5530E0964A821EA3F3E17299B6" ma:contentTypeVersion="6" ma:contentTypeDescription="Create a new document." ma:contentTypeScope="" ma:versionID="eaa91a15458943325e3bda93932a82bf">
  <xsd:schema xmlns:xsd="http://www.w3.org/2001/XMLSchema" xmlns:xs="http://www.w3.org/2001/XMLSchema" xmlns:p="http://schemas.microsoft.com/office/2006/metadata/properties" xmlns:ns2="62583977-3e0b-4f5c-b6cb-a6859cc1a380" xmlns:ns3="90afd111-81ff-4eb0-a9e2-41d5e089355d" targetNamespace="http://schemas.microsoft.com/office/2006/metadata/properties" ma:root="true" ma:fieldsID="fc48d47311fe9e26b8873895889f1cf9" ns2:_="" ns3:_="">
    <xsd:import namespace="62583977-3e0b-4f5c-b6cb-a6859cc1a38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3977-3e0b-4f5c-b6cb-a6859cc1a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
        <AccountId xsi:nil="true"/>
        <AccountType/>
      </UserInfo>
    </SharedWithUsers>
  </documentManagement>
</p:properties>
</file>

<file path=customXml/itemProps1.xml><?xml version="1.0" encoding="utf-8"?>
<ds:datastoreItem xmlns:ds="http://schemas.openxmlformats.org/officeDocument/2006/customXml" ds:itemID="{5E7EC4C5-E8BD-4F35-9DF5-4E1C20AC0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3977-3e0b-4f5c-b6cb-a6859cc1a38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FBCF3-D64C-4C94-BFC8-1779398C081D}">
  <ds:schemaRefs>
    <ds:schemaRef ds:uri="http://schemas.microsoft.com/sharepoint/v3/contenttype/forms"/>
  </ds:schemaRefs>
</ds:datastoreItem>
</file>

<file path=customXml/itemProps3.xml><?xml version="1.0" encoding="utf-8"?>
<ds:datastoreItem xmlns:ds="http://schemas.openxmlformats.org/officeDocument/2006/customXml" ds:itemID="{D81AD063-5937-4A66-B499-EB8DFAF6F925}">
  <ds:schemaRefs>
    <ds:schemaRef ds:uri="http://schemas.microsoft.com/office/2006/metadata/properties"/>
    <ds:schemaRef ds:uri="http://schemas.microsoft.com/office/infopath/2007/PartnerControls"/>
    <ds:schemaRef ds:uri="90afd111-81ff-4eb0-a9e2-41d5e08935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TimAngela</dc:creator>
  <cp:lastModifiedBy>Richard Kember</cp:lastModifiedBy>
  <cp:revision>5</cp:revision>
  <dcterms:created xsi:type="dcterms:W3CDTF">2020-12-19T21:48:00Z</dcterms:created>
  <dcterms:modified xsi:type="dcterms:W3CDTF">2021-01-05T10:22:00Z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0x0101003938CB5530E0964A821EA3F3E17299B6</vt:lpwstr>
  </property>
  <property fmtid="{D5CDD505-2E9C-101B-9397-08002B2CF9AE}" pid="3" name="Order">
    <vt:r8>272600</vt:r8>
  </property>
  <property fmtid="{D5CDD505-2E9C-101B-9397-08002B2CF9AE}" pid="4" name="ComplianceAssetId">
    <vt:lpwstr/>
  </property>
</Properties>
</file>